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89" w:rsidRPr="00B35FD4" w:rsidRDefault="00560289" w:rsidP="00560289">
      <w:pPr>
        <w:pStyle w:val="2"/>
        <w:spacing w:line="360" w:lineRule="auto"/>
        <w:rPr>
          <w:rFonts w:eastAsia="Calibri"/>
          <w:b/>
          <w:bCs/>
          <w:sz w:val="24"/>
          <w:szCs w:val="26"/>
          <w:lang w:eastAsia="en-US"/>
        </w:rPr>
      </w:pPr>
      <w:bookmarkStart w:id="0" w:name="_Toc433988398"/>
      <w:r>
        <w:rPr>
          <w:rFonts w:eastAsia="Calibri"/>
          <w:bCs/>
          <w:sz w:val="24"/>
          <w:szCs w:val="26"/>
          <w:lang w:eastAsia="x-none"/>
        </w:rPr>
        <w:t>Фамилия</w:t>
      </w:r>
      <w:r w:rsidRPr="00B35FD4">
        <w:rPr>
          <w:rFonts w:eastAsia="Calibri"/>
          <w:bCs/>
          <w:sz w:val="24"/>
          <w:szCs w:val="26"/>
          <w:lang w:val="x-none" w:eastAsia="x-none"/>
        </w:rPr>
        <w:t xml:space="preserve"> </w:t>
      </w:r>
      <w:r>
        <w:rPr>
          <w:rFonts w:eastAsia="Calibri"/>
          <w:bCs/>
          <w:sz w:val="24"/>
          <w:szCs w:val="26"/>
          <w:lang w:eastAsia="x-none"/>
        </w:rPr>
        <w:t>И</w:t>
      </w:r>
      <w:r w:rsidRPr="00B35FD4">
        <w:rPr>
          <w:rFonts w:eastAsia="Calibri"/>
          <w:bCs/>
          <w:sz w:val="24"/>
          <w:szCs w:val="26"/>
          <w:lang w:eastAsia="x-none"/>
        </w:rPr>
        <w:t>.</w:t>
      </w:r>
      <w:r>
        <w:rPr>
          <w:rFonts w:eastAsia="Calibri"/>
          <w:bCs/>
          <w:sz w:val="24"/>
          <w:szCs w:val="26"/>
          <w:lang w:eastAsia="x-none"/>
        </w:rPr>
        <w:t>О</w:t>
      </w:r>
      <w:r w:rsidRPr="00B35FD4">
        <w:rPr>
          <w:rFonts w:eastAsia="Calibri"/>
          <w:bCs/>
          <w:sz w:val="24"/>
          <w:szCs w:val="26"/>
          <w:lang w:eastAsia="x-none"/>
        </w:rPr>
        <w:t>.</w:t>
      </w:r>
      <w:r w:rsidRPr="00560289">
        <w:rPr>
          <w:rFonts w:eastAsia="Calibri"/>
          <w:bCs/>
          <w:sz w:val="24"/>
          <w:szCs w:val="26"/>
          <w:vertAlign w:val="superscript"/>
          <w:lang w:eastAsia="x-none"/>
        </w:rPr>
        <w:t>1</w:t>
      </w:r>
      <w:r>
        <w:rPr>
          <w:rFonts w:eastAsia="Calibri"/>
          <w:bCs/>
          <w:sz w:val="24"/>
          <w:szCs w:val="26"/>
          <w:lang w:eastAsia="x-none"/>
        </w:rPr>
        <w:t>, Фамилия</w:t>
      </w:r>
      <w:r w:rsidRPr="00B35FD4">
        <w:rPr>
          <w:rFonts w:eastAsia="Calibri"/>
          <w:bCs/>
          <w:sz w:val="24"/>
          <w:szCs w:val="26"/>
          <w:lang w:val="x-none" w:eastAsia="x-none"/>
        </w:rPr>
        <w:t xml:space="preserve"> </w:t>
      </w:r>
      <w:r>
        <w:rPr>
          <w:rFonts w:eastAsia="Calibri"/>
          <w:bCs/>
          <w:sz w:val="24"/>
          <w:szCs w:val="26"/>
          <w:lang w:eastAsia="x-none"/>
        </w:rPr>
        <w:t>И</w:t>
      </w:r>
      <w:r w:rsidRPr="00B35FD4">
        <w:rPr>
          <w:rFonts w:eastAsia="Calibri"/>
          <w:bCs/>
          <w:sz w:val="24"/>
          <w:szCs w:val="26"/>
          <w:lang w:eastAsia="x-none"/>
        </w:rPr>
        <w:t>.</w:t>
      </w:r>
      <w:r>
        <w:rPr>
          <w:rFonts w:eastAsia="Calibri"/>
          <w:bCs/>
          <w:sz w:val="24"/>
          <w:szCs w:val="26"/>
          <w:lang w:eastAsia="x-none"/>
        </w:rPr>
        <w:t>О</w:t>
      </w:r>
      <w:r w:rsidRPr="00B35FD4">
        <w:rPr>
          <w:rFonts w:eastAsia="Calibri"/>
          <w:bCs/>
          <w:sz w:val="24"/>
          <w:szCs w:val="26"/>
          <w:lang w:eastAsia="x-none"/>
        </w:rPr>
        <w:t>.</w:t>
      </w:r>
      <w:r w:rsidRPr="00560289">
        <w:rPr>
          <w:rFonts w:eastAsia="Calibri"/>
          <w:bCs/>
          <w:sz w:val="24"/>
          <w:szCs w:val="26"/>
          <w:vertAlign w:val="superscript"/>
          <w:lang w:eastAsia="x-none"/>
        </w:rPr>
        <w:t>2</w:t>
      </w:r>
      <w:r w:rsidRPr="00B35FD4">
        <w:rPr>
          <w:rFonts w:eastAsia="Calibri"/>
          <w:bCs/>
          <w:sz w:val="24"/>
          <w:szCs w:val="26"/>
          <w:lang w:eastAsia="x-none"/>
        </w:rPr>
        <w:br/>
      </w:r>
      <w:bookmarkEnd w:id="0"/>
      <w:r>
        <w:rPr>
          <w:rFonts w:eastAsia="Calibri"/>
          <w:b/>
          <w:bCs/>
          <w:sz w:val="24"/>
          <w:szCs w:val="26"/>
          <w:lang w:eastAsia="en-US"/>
        </w:rPr>
        <w:t>ТЕМА ВАШЕГО ИССЛЕДОВАНИЯ</w:t>
      </w:r>
    </w:p>
    <w:p w:rsidR="00560289" w:rsidRPr="00B35FD4" w:rsidRDefault="00560289" w:rsidP="00560289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560289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B35FD4">
        <w:rPr>
          <w:rFonts w:eastAsia="Calibri"/>
          <w:sz w:val="24"/>
          <w:szCs w:val="24"/>
          <w:lang w:eastAsia="en-US"/>
        </w:rPr>
        <w:t>Кафедра компьютерных систем ШЕН ДВФУ</w:t>
      </w:r>
    </w:p>
    <w:p w:rsidR="00717B04" w:rsidRPr="00B35FD4" w:rsidRDefault="00717B04" w:rsidP="00717B04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560289">
        <w:rPr>
          <w:rFonts w:eastAsia="Calibri"/>
          <w:sz w:val="24"/>
          <w:szCs w:val="24"/>
          <w:vertAlign w:val="superscript"/>
          <w:lang w:eastAsia="en-US"/>
        </w:rPr>
        <w:t>2</w:t>
      </w:r>
      <w:r w:rsidRPr="00560289">
        <w:t xml:space="preserve"> </w:t>
      </w:r>
      <w:r w:rsidRPr="00560289">
        <w:rPr>
          <w:rFonts w:eastAsia="Calibri"/>
          <w:sz w:val="24"/>
          <w:szCs w:val="24"/>
          <w:lang w:eastAsia="en-US"/>
        </w:rPr>
        <w:t xml:space="preserve">Тихоокеанский институт биоорганической химии им. Г.Б. Елякова </w:t>
      </w:r>
      <w:r>
        <w:rPr>
          <w:rFonts w:eastAsia="Calibri"/>
          <w:sz w:val="24"/>
          <w:szCs w:val="24"/>
          <w:lang w:eastAsia="en-US"/>
        </w:rPr>
        <w:t>ДВО</w:t>
      </w:r>
      <w:r w:rsidRPr="00560289">
        <w:rPr>
          <w:rFonts w:eastAsia="Calibri"/>
          <w:sz w:val="24"/>
          <w:szCs w:val="24"/>
          <w:lang w:eastAsia="en-US"/>
        </w:rPr>
        <w:t xml:space="preserve"> РАН</w:t>
      </w:r>
    </w:p>
    <w:p w:rsidR="00560289" w:rsidRDefault="0055193C" w:rsidP="00560289">
      <w:pPr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55193C">
        <w:rPr>
          <w:rFonts w:eastAsia="Calibri"/>
          <w:sz w:val="24"/>
          <w:szCs w:val="24"/>
          <w:vertAlign w:val="superscript"/>
          <w:lang w:eastAsia="en-US"/>
        </w:rPr>
        <w:t>1</w:t>
      </w:r>
      <w:r w:rsidR="00560289" w:rsidRPr="00B35FD4">
        <w:rPr>
          <w:rFonts w:eastAsia="Calibri"/>
          <w:sz w:val="24"/>
          <w:szCs w:val="24"/>
          <w:lang w:eastAsia="en-US"/>
        </w:rPr>
        <w:t xml:space="preserve">Научный руководитель - к.т.н., доцент </w:t>
      </w:r>
      <w:r w:rsidR="00560289">
        <w:rPr>
          <w:rFonts w:eastAsia="Calibri"/>
          <w:sz w:val="24"/>
          <w:szCs w:val="24"/>
          <w:lang w:eastAsia="en-US"/>
        </w:rPr>
        <w:t>И.О.</w:t>
      </w:r>
      <w:r w:rsidR="00560289" w:rsidRPr="00B35FD4">
        <w:rPr>
          <w:rFonts w:eastAsia="Calibri"/>
          <w:sz w:val="24"/>
          <w:szCs w:val="24"/>
          <w:lang w:eastAsia="en-US"/>
        </w:rPr>
        <w:t xml:space="preserve"> </w:t>
      </w:r>
      <w:r w:rsidR="00560289">
        <w:rPr>
          <w:rFonts w:eastAsia="Calibri"/>
          <w:sz w:val="24"/>
          <w:szCs w:val="24"/>
          <w:lang w:eastAsia="en-US"/>
        </w:rPr>
        <w:t>Фамилия</w:t>
      </w:r>
    </w:p>
    <w:p w:rsidR="00560289" w:rsidRPr="00B35FD4" w:rsidRDefault="00560289" w:rsidP="00560289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560289" w:rsidRPr="00B35FD4" w:rsidRDefault="00560289" w:rsidP="00560289">
      <w:pPr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B35FD4">
        <w:rPr>
          <w:spacing w:val="-2"/>
          <w:sz w:val="24"/>
          <w:szCs w:val="24"/>
        </w:rPr>
        <w:t xml:space="preserve">Текст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bookmarkStart w:id="1" w:name="_GoBack"/>
      <w:bookmarkEnd w:id="1"/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>
        <w:rPr>
          <w:spacing w:val="-2"/>
          <w:sz w:val="24"/>
          <w:szCs w:val="24"/>
        </w:rPr>
        <w:t xml:space="preserve"> </w:t>
      </w:r>
      <w:r w:rsidRPr="00B35FD4">
        <w:rPr>
          <w:spacing w:val="-2"/>
          <w:sz w:val="24"/>
          <w:szCs w:val="24"/>
        </w:rPr>
        <w:t>[1]</w:t>
      </w:r>
      <w:r>
        <w:rPr>
          <w:spacing w:val="-2"/>
          <w:sz w:val="24"/>
          <w:szCs w:val="24"/>
        </w:rPr>
        <w:t>.</w:t>
      </w:r>
      <w:r w:rsidRPr="00B35FD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 w:rsidRPr="00B35FD4">
        <w:rPr>
          <w:spacing w:val="-2"/>
          <w:sz w:val="24"/>
          <w:szCs w:val="24"/>
        </w:rPr>
        <w:t xml:space="preserve">екст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[4] текст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(рисунок 1)</w:t>
      </w:r>
      <w:r w:rsidRPr="00B35FD4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 xml:space="preserve">Текст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 w:rsidRPr="00B35FD4">
        <w:rPr>
          <w:spacing w:val="-2"/>
          <w:sz w:val="24"/>
          <w:szCs w:val="24"/>
        </w:rPr>
        <w:t xml:space="preserve"> </w:t>
      </w:r>
      <w:proofErr w:type="spellStart"/>
      <w:r w:rsidRPr="00B35FD4">
        <w:rPr>
          <w:spacing w:val="-2"/>
          <w:sz w:val="24"/>
          <w:szCs w:val="24"/>
        </w:rPr>
        <w:t>текст</w:t>
      </w:r>
      <w:proofErr w:type="spellEnd"/>
      <w:r>
        <w:rPr>
          <w:spacing w:val="-2"/>
          <w:sz w:val="24"/>
          <w:szCs w:val="24"/>
        </w:rPr>
        <w:t xml:space="preserve"> </w:t>
      </w:r>
      <w:r w:rsidRPr="00B35FD4">
        <w:rPr>
          <w:spacing w:val="-2"/>
          <w:sz w:val="24"/>
          <w:szCs w:val="24"/>
        </w:rPr>
        <w:t>[2].</w:t>
      </w:r>
    </w:p>
    <w:p w:rsidR="00560289" w:rsidRDefault="00560289" w:rsidP="00560289">
      <w:pPr>
        <w:spacing w:line="276" w:lineRule="auto"/>
        <w:jc w:val="center"/>
        <w:rPr>
          <w:spacing w:val="-2"/>
        </w:rPr>
      </w:pPr>
      <w:r w:rsidRPr="00E14B82">
        <w:rPr>
          <w:spacing w:val="-2"/>
        </w:rPr>
        <w:object w:dxaOrig="10020" w:dyaOrig="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18.5pt" o:ole="">
            <v:imagedata r:id="rId5" o:title=""/>
          </v:shape>
          <o:OLEObject Type="Embed" ProgID="PBrush" ShapeID="_x0000_i1025" DrawAspect="Content" ObjectID="_1548247173" r:id="rId6"/>
        </w:object>
      </w:r>
    </w:p>
    <w:p w:rsidR="00560289" w:rsidRDefault="00560289" w:rsidP="00560289">
      <w:pPr>
        <w:spacing w:line="276" w:lineRule="auto"/>
        <w:ind w:firstLine="709"/>
        <w:jc w:val="center"/>
        <w:rPr>
          <w:spacing w:val="-2"/>
          <w:sz w:val="22"/>
        </w:rPr>
      </w:pPr>
      <w:r w:rsidRPr="00620865">
        <w:rPr>
          <w:spacing w:val="-2"/>
          <w:sz w:val="22"/>
        </w:rPr>
        <w:t>Рисунок 1 – Название рисунка [</w:t>
      </w:r>
      <w:r>
        <w:rPr>
          <w:spacing w:val="-2"/>
          <w:sz w:val="22"/>
        </w:rPr>
        <w:t>3</w:t>
      </w:r>
      <w:r w:rsidRPr="00620865">
        <w:rPr>
          <w:spacing w:val="-2"/>
          <w:sz w:val="22"/>
        </w:rPr>
        <w:t>]</w:t>
      </w:r>
    </w:p>
    <w:p w:rsidR="00560289" w:rsidRPr="003847FA" w:rsidRDefault="00560289" w:rsidP="00560289">
      <w:pPr>
        <w:spacing w:line="276" w:lineRule="auto"/>
        <w:ind w:firstLine="709"/>
        <w:jc w:val="center"/>
        <w:rPr>
          <w:spacing w:val="-2"/>
        </w:rPr>
      </w:pPr>
      <w:r w:rsidRPr="003847FA">
        <w:rPr>
          <w:spacing w:val="-2"/>
        </w:rPr>
        <w:t xml:space="preserve">1 – </w:t>
      </w:r>
      <w:r>
        <w:rPr>
          <w:spacing w:val="-2"/>
        </w:rPr>
        <w:t>расшифровка деталей</w:t>
      </w:r>
    </w:p>
    <w:p w:rsidR="00560289" w:rsidRPr="003847FA" w:rsidRDefault="00560289" w:rsidP="00560289">
      <w:pPr>
        <w:spacing w:line="276" w:lineRule="auto"/>
        <w:ind w:firstLine="709"/>
        <w:jc w:val="center"/>
        <w:rPr>
          <w:spacing w:val="-2"/>
        </w:rPr>
      </w:pPr>
      <w:r w:rsidRPr="003847FA">
        <w:rPr>
          <w:spacing w:val="-2"/>
        </w:rPr>
        <w:t xml:space="preserve">2 - </w:t>
      </w:r>
      <w:r>
        <w:rPr>
          <w:spacing w:val="-2"/>
        </w:rPr>
        <w:t xml:space="preserve"> расшифровка деталей</w:t>
      </w:r>
    </w:p>
    <w:p w:rsidR="00560289" w:rsidRDefault="00560289" w:rsidP="00560289">
      <w:pPr>
        <w:pStyle w:val="21"/>
        <w:pBdr>
          <w:bottom w:val="none" w:sz="0" w:space="0" w:color="auto"/>
        </w:pBdr>
        <w:spacing w:line="276" w:lineRule="auto"/>
        <w:ind w:left="1" w:firstLine="708"/>
        <w:rPr>
          <w:szCs w:val="24"/>
        </w:rPr>
      </w:pPr>
      <w:r>
        <w:rPr>
          <w:szCs w:val="24"/>
        </w:rPr>
        <w:t xml:space="preserve">Текст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текст</w:t>
      </w:r>
      <w:proofErr w:type="spellEnd"/>
      <w:r>
        <w:rPr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>
        <w:rPr>
          <w:spacing w:val="-2"/>
          <w:szCs w:val="24"/>
        </w:rPr>
        <w:t xml:space="preserve"> </w:t>
      </w:r>
      <w:r w:rsidRPr="00B35FD4">
        <w:rPr>
          <w:spacing w:val="-2"/>
          <w:szCs w:val="24"/>
        </w:rPr>
        <w:t xml:space="preserve">[3] текст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 w:rsidRPr="00B35FD4">
        <w:rPr>
          <w:spacing w:val="-2"/>
          <w:szCs w:val="24"/>
        </w:rPr>
        <w:t xml:space="preserve"> </w:t>
      </w:r>
      <w:proofErr w:type="spellStart"/>
      <w:r w:rsidRPr="00B35FD4">
        <w:rPr>
          <w:spacing w:val="-2"/>
          <w:szCs w:val="24"/>
        </w:rPr>
        <w:t>текст</w:t>
      </w:r>
      <w:proofErr w:type="spellEnd"/>
      <w:r>
        <w:rPr>
          <w:spacing w:val="-2"/>
          <w:szCs w:val="24"/>
        </w:rPr>
        <w:t xml:space="preserve"> (</w:t>
      </w:r>
      <w:proofErr w:type="gramStart"/>
      <w:r>
        <w:rPr>
          <w:spacing w:val="-2"/>
          <w:szCs w:val="24"/>
        </w:rPr>
        <w:t>таблица )</w:t>
      </w:r>
      <w:proofErr w:type="gramEnd"/>
      <w:r>
        <w:rPr>
          <w:spacing w:val="-2"/>
          <w:szCs w:val="24"/>
        </w:rPr>
        <w:t>.</w:t>
      </w:r>
    </w:p>
    <w:p w:rsidR="00560289" w:rsidRPr="00620865" w:rsidRDefault="00560289" w:rsidP="00560289">
      <w:pPr>
        <w:spacing w:line="276" w:lineRule="auto"/>
        <w:ind w:firstLine="709"/>
        <w:jc w:val="right"/>
        <w:rPr>
          <w:i/>
          <w:spacing w:val="-2"/>
          <w:sz w:val="24"/>
          <w:szCs w:val="24"/>
        </w:rPr>
      </w:pPr>
      <w:r w:rsidRPr="00B35FD4">
        <w:rPr>
          <w:i/>
          <w:spacing w:val="-2"/>
          <w:sz w:val="24"/>
          <w:szCs w:val="24"/>
        </w:rPr>
        <w:t>Таблица</w:t>
      </w:r>
      <w:r w:rsidRPr="00620865">
        <w:rPr>
          <w:i/>
          <w:spacing w:val="-2"/>
          <w:sz w:val="24"/>
          <w:szCs w:val="24"/>
        </w:rPr>
        <w:t xml:space="preserve"> </w:t>
      </w:r>
    </w:p>
    <w:p w:rsidR="00560289" w:rsidRPr="00620865" w:rsidRDefault="00560289" w:rsidP="00560289">
      <w:pPr>
        <w:spacing w:line="276" w:lineRule="auto"/>
        <w:ind w:firstLine="709"/>
        <w:jc w:val="center"/>
        <w:rPr>
          <w:spacing w:val="-2"/>
          <w:sz w:val="24"/>
          <w:szCs w:val="24"/>
          <w:lang w:val="en-US"/>
        </w:rPr>
      </w:pPr>
      <w:r w:rsidRPr="00620865">
        <w:rPr>
          <w:spacing w:val="-2"/>
          <w:sz w:val="24"/>
          <w:szCs w:val="24"/>
        </w:rPr>
        <w:t>Название таблицы</w:t>
      </w:r>
      <w:r w:rsidRPr="00620865">
        <w:rPr>
          <w:spacing w:val="-2"/>
          <w:sz w:val="24"/>
          <w:szCs w:val="24"/>
          <w:lang w:val="en-US"/>
        </w:rPr>
        <w:t xml:space="preserve"> [3]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560289" w:rsidRPr="003C3462" w:rsidTr="00E61EC8"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jc w:val="center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Шапка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jc w:val="center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Шапка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jc w:val="center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Шапка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jc w:val="center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Шапка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jc w:val="center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Шапка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jc w:val="center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Шапка</w:t>
            </w:r>
          </w:p>
        </w:tc>
      </w:tr>
      <w:tr w:rsidR="00560289" w:rsidRPr="003C3462" w:rsidTr="00E61EC8"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Текст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Текст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Текст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Текст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Текст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Текст</w:t>
            </w:r>
          </w:p>
        </w:tc>
      </w:tr>
      <w:tr w:rsidR="00560289" w:rsidRPr="003C3462" w:rsidTr="00E61EC8"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Текст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нет данных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Текст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Текст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нет данных</w:t>
            </w:r>
          </w:p>
        </w:tc>
        <w:tc>
          <w:tcPr>
            <w:tcW w:w="1595" w:type="dxa"/>
            <w:shd w:val="clear" w:color="auto" w:fill="auto"/>
          </w:tcPr>
          <w:p w:rsidR="00560289" w:rsidRPr="003C3462" w:rsidRDefault="00560289" w:rsidP="00E61EC8">
            <w:pPr>
              <w:spacing w:line="276" w:lineRule="auto"/>
              <w:rPr>
                <w:rFonts w:eastAsia="Calibri"/>
                <w:spacing w:val="-2"/>
                <w:sz w:val="22"/>
                <w:szCs w:val="24"/>
              </w:rPr>
            </w:pPr>
            <w:r w:rsidRPr="003C3462">
              <w:rPr>
                <w:rFonts w:eastAsia="Calibri"/>
                <w:spacing w:val="-2"/>
                <w:sz w:val="22"/>
                <w:szCs w:val="24"/>
              </w:rPr>
              <w:t>Текст</w:t>
            </w:r>
          </w:p>
        </w:tc>
      </w:tr>
    </w:tbl>
    <w:p w:rsidR="00560289" w:rsidRDefault="00560289" w:rsidP="00560289">
      <w:pPr>
        <w:pStyle w:val="21"/>
        <w:pBdr>
          <w:bottom w:val="none" w:sz="0" w:space="0" w:color="auto"/>
        </w:pBdr>
        <w:spacing w:line="240" w:lineRule="auto"/>
        <w:jc w:val="left"/>
        <w:rPr>
          <w:szCs w:val="24"/>
        </w:rPr>
      </w:pPr>
    </w:p>
    <w:p w:rsidR="00560289" w:rsidRPr="00B35FD4" w:rsidRDefault="00560289" w:rsidP="00560289">
      <w:pPr>
        <w:pStyle w:val="21"/>
        <w:pBdr>
          <w:bottom w:val="none" w:sz="0" w:space="0" w:color="auto"/>
        </w:pBdr>
        <w:spacing w:line="276" w:lineRule="auto"/>
        <w:jc w:val="center"/>
        <w:rPr>
          <w:i/>
          <w:szCs w:val="24"/>
        </w:rPr>
      </w:pPr>
      <w:r w:rsidRPr="00B35FD4">
        <w:rPr>
          <w:i/>
          <w:szCs w:val="24"/>
        </w:rPr>
        <w:t>Список литературы</w:t>
      </w:r>
    </w:p>
    <w:p w:rsidR="00560289" w:rsidRDefault="00560289" w:rsidP="00560289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lang w:eastAsia="hi-IN" w:bidi="hi-IN"/>
        </w:rPr>
      </w:pPr>
      <w:r>
        <w:rPr>
          <w:sz w:val="24"/>
          <w:lang w:eastAsia="hi-IN" w:bidi="hi-IN"/>
        </w:rPr>
        <w:t xml:space="preserve"> </w:t>
      </w:r>
      <w:r w:rsidRPr="00F76A15">
        <w:rPr>
          <w:sz w:val="24"/>
          <w:lang w:eastAsia="hi-IN" w:bidi="hi-IN"/>
        </w:rPr>
        <w:t>Костылев</w:t>
      </w:r>
      <w:r>
        <w:rPr>
          <w:sz w:val="24"/>
          <w:lang w:eastAsia="hi-IN" w:bidi="hi-IN"/>
        </w:rPr>
        <w:t>,</w:t>
      </w:r>
      <w:r w:rsidRPr="00F76A15">
        <w:rPr>
          <w:sz w:val="24"/>
          <w:lang w:eastAsia="hi-IN" w:bidi="hi-IN"/>
        </w:rPr>
        <w:t xml:space="preserve"> В.А. Медицинская физика</w:t>
      </w:r>
      <w:r>
        <w:rPr>
          <w:sz w:val="24"/>
          <w:lang w:eastAsia="hi-IN" w:bidi="hi-IN"/>
        </w:rPr>
        <w:t xml:space="preserve"> </w:t>
      </w:r>
      <w:r w:rsidRPr="00F76A15">
        <w:rPr>
          <w:sz w:val="24"/>
          <w:lang w:eastAsia="hi-IN" w:bidi="hi-IN"/>
        </w:rPr>
        <w:t>/</w:t>
      </w:r>
      <w:r>
        <w:rPr>
          <w:sz w:val="24"/>
          <w:lang w:eastAsia="hi-IN" w:bidi="hi-IN"/>
        </w:rPr>
        <w:t xml:space="preserve"> </w:t>
      </w:r>
      <w:r w:rsidRPr="00F76A15">
        <w:rPr>
          <w:sz w:val="24"/>
          <w:lang w:eastAsia="hi-IN" w:bidi="hi-IN"/>
        </w:rPr>
        <w:t>В.А. Костылев</w:t>
      </w:r>
      <w:r>
        <w:rPr>
          <w:sz w:val="24"/>
          <w:lang w:eastAsia="hi-IN" w:bidi="hi-IN"/>
        </w:rPr>
        <w:t>,</w:t>
      </w:r>
      <w:r w:rsidRPr="00AC0F98">
        <w:rPr>
          <w:sz w:val="24"/>
          <w:lang w:eastAsia="hi-IN" w:bidi="hi-IN"/>
        </w:rPr>
        <w:t xml:space="preserve"> </w:t>
      </w:r>
      <w:r w:rsidRPr="00F76A15">
        <w:rPr>
          <w:sz w:val="24"/>
          <w:lang w:eastAsia="hi-IN" w:bidi="hi-IN"/>
        </w:rPr>
        <w:t>Б.Я</w:t>
      </w:r>
      <w:r>
        <w:rPr>
          <w:sz w:val="24"/>
          <w:lang w:eastAsia="hi-IN" w:bidi="hi-IN"/>
        </w:rPr>
        <w:t>.</w:t>
      </w:r>
      <w:r w:rsidRPr="00F76A15">
        <w:rPr>
          <w:sz w:val="24"/>
          <w:lang w:eastAsia="hi-IN" w:bidi="hi-IN"/>
        </w:rPr>
        <w:t xml:space="preserve"> Наркевич. – М.: Медицина, 2008. -  464 с.</w:t>
      </w:r>
    </w:p>
    <w:p w:rsidR="00560289" w:rsidRPr="00B35FD4" w:rsidRDefault="00560289" w:rsidP="00560289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lang w:eastAsia="hi-IN" w:bidi="hi-IN"/>
        </w:rPr>
      </w:pPr>
      <w:r>
        <w:rPr>
          <w:sz w:val="24"/>
          <w:lang w:eastAsia="hi-IN" w:bidi="hi-IN"/>
        </w:rPr>
        <w:t xml:space="preserve"> </w:t>
      </w:r>
      <w:r w:rsidRPr="00B35FD4">
        <w:rPr>
          <w:sz w:val="24"/>
          <w:lang w:eastAsia="hi-IN" w:bidi="hi-IN"/>
        </w:rPr>
        <w:t>Минерально-сырьевые ресурсы арктической континентальной окраины России и перспективы их сохранения [Электронный источник] – URL: http://ibrae.ac.ru/docs/3(15)/052_061_ARKTIKA_3(15)_09_2014.pdf</w:t>
      </w:r>
    </w:p>
    <w:p w:rsidR="00560289" w:rsidRPr="00B35FD4" w:rsidRDefault="00560289" w:rsidP="00560289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lang w:eastAsia="hi-IN" w:bidi="hi-IN"/>
        </w:rPr>
      </w:pPr>
      <w:r>
        <w:rPr>
          <w:sz w:val="24"/>
          <w:lang w:eastAsia="hi-IN" w:bidi="hi-IN"/>
        </w:rPr>
        <w:t xml:space="preserve"> </w:t>
      </w:r>
      <w:r w:rsidRPr="00B35FD4">
        <w:rPr>
          <w:sz w:val="24"/>
          <w:lang w:eastAsia="hi-IN" w:bidi="hi-IN"/>
        </w:rPr>
        <w:t xml:space="preserve">Пат. 2540322 РФ, МПК С 07 С2/40, С13/61, С4/22, С13/15, С17/20. Способ получения </w:t>
      </w:r>
      <w:proofErr w:type="spellStart"/>
      <w:r w:rsidRPr="00B35FD4">
        <w:rPr>
          <w:sz w:val="24"/>
          <w:lang w:eastAsia="hi-IN" w:bidi="hi-IN"/>
        </w:rPr>
        <w:t>дициклопентадиена</w:t>
      </w:r>
      <w:proofErr w:type="spellEnd"/>
      <w:r w:rsidRPr="00B35FD4">
        <w:rPr>
          <w:sz w:val="24"/>
          <w:lang w:eastAsia="hi-IN" w:bidi="hi-IN"/>
        </w:rPr>
        <w:t xml:space="preserve"> / И. А. Арутюнов, А. В. Кулик, Л. А. </w:t>
      </w:r>
      <w:proofErr w:type="spellStart"/>
      <w:r w:rsidRPr="00B35FD4">
        <w:rPr>
          <w:sz w:val="24"/>
          <w:lang w:eastAsia="hi-IN" w:bidi="hi-IN"/>
        </w:rPr>
        <w:t>Хахин</w:t>
      </w:r>
      <w:proofErr w:type="spellEnd"/>
      <w:r w:rsidRPr="00B35FD4">
        <w:rPr>
          <w:sz w:val="24"/>
          <w:lang w:eastAsia="hi-IN" w:bidi="hi-IN"/>
        </w:rPr>
        <w:t xml:space="preserve">, В. В. Григорьева, Г. С. </w:t>
      </w:r>
      <w:proofErr w:type="gramStart"/>
      <w:r w:rsidRPr="00B35FD4">
        <w:rPr>
          <w:sz w:val="24"/>
          <w:lang w:eastAsia="hi-IN" w:bidi="hi-IN"/>
        </w:rPr>
        <w:t>Поминова ;</w:t>
      </w:r>
      <w:proofErr w:type="gramEnd"/>
      <w:r w:rsidRPr="00B35FD4">
        <w:rPr>
          <w:sz w:val="24"/>
          <w:lang w:eastAsia="hi-IN" w:bidi="hi-IN"/>
        </w:rPr>
        <w:t xml:space="preserve"> заявитель и патентообладатель ОАО «Нефтяная компания «Роснефть». – № 2014102682/04; </w:t>
      </w:r>
      <w:proofErr w:type="spellStart"/>
      <w:r w:rsidRPr="00B35FD4">
        <w:rPr>
          <w:sz w:val="24"/>
          <w:lang w:eastAsia="hi-IN" w:bidi="hi-IN"/>
        </w:rPr>
        <w:t>заявл</w:t>
      </w:r>
      <w:proofErr w:type="spellEnd"/>
      <w:r w:rsidRPr="00B35FD4">
        <w:rPr>
          <w:sz w:val="24"/>
          <w:lang w:eastAsia="hi-IN" w:bidi="hi-IN"/>
        </w:rPr>
        <w:t xml:space="preserve">. </w:t>
      </w:r>
      <w:proofErr w:type="gramStart"/>
      <w:r w:rsidRPr="00B35FD4">
        <w:rPr>
          <w:sz w:val="24"/>
          <w:lang w:eastAsia="hi-IN" w:bidi="hi-IN"/>
        </w:rPr>
        <w:t>29.01.14 ;</w:t>
      </w:r>
      <w:proofErr w:type="gramEnd"/>
      <w:r w:rsidRPr="00B35FD4">
        <w:rPr>
          <w:sz w:val="24"/>
          <w:lang w:eastAsia="hi-IN" w:bidi="hi-IN"/>
        </w:rPr>
        <w:t xml:space="preserve"> </w:t>
      </w:r>
      <w:proofErr w:type="spellStart"/>
      <w:r w:rsidRPr="00B35FD4">
        <w:rPr>
          <w:sz w:val="24"/>
          <w:lang w:eastAsia="hi-IN" w:bidi="hi-IN"/>
        </w:rPr>
        <w:t>опубл</w:t>
      </w:r>
      <w:proofErr w:type="spellEnd"/>
      <w:r w:rsidRPr="00B35FD4">
        <w:rPr>
          <w:sz w:val="24"/>
          <w:lang w:eastAsia="hi-IN" w:bidi="hi-IN"/>
        </w:rPr>
        <w:t xml:space="preserve">. 10.02.15, </w:t>
      </w:r>
      <w:proofErr w:type="spellStart"/>
      <w:r w:rsidRPr="00B35FD4">
        <w:rPr>
          <w:sz w:val="24"/>
          <w:lang w:eastAsia="hi-IN" w:bidi="hi-IN"/>
        </w:rPr>
        <w:t>Бюл</w:t>
      </w:r>
      <w:proofErr w:type="spellEnd"/>
      <w:r w:rsidRPr="00B35FD4">
        <w:rPr>
          <w:sz w:val="24"/>
          <w:lang w:eastAsia="hi-IN" w:bidi="hi-IN"/>
        </w:rPr>
        <w:t>. № 4. – 12 с.</w:t>
      </w:r>
    </w:p>
    <w:p w:rsidR="00560289" w:rsidRDefault="00560289" w:rsidP="00560289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lang w:eastAsia="hi-IN" w:bidi="hi-IN"/>
        </w:rPr>
      </w:pPr>
      <w:r>
        <w:rPr>
          <w:sz w:val="24"/>
          <w:lang w:eastAsia="hi-IN" w:bidi="hi-IN"/>
        </w:rPr>
        <w:lastRenderedPageBreak/>
        <w:t xml:space="preserve"> </w:t>
      </w:r>
      <w:r w:rsidRPr="00B35FD4">
        <w:rPr>
          <w:sz w:val="24"/>
          <w:lang w:eastAsia="hi-IN" w:bidi="hi-IN"/>
        </w:rPr>
        <w:t xml:space="preserve">Сорокин, А.П. Природно-ресурсный потенциал трансграничной территории России и КНР в бассейне Верхнего и Среднего Амура / А.П. Сорокин и др. // География и природные ресурсы. – 2008. – №4. – С. 104-110 </w:t>
      </w:r>
    </w:p>
    <w:p w:rsidR="00560289" w:rsidRPr="00B35FD4" w:rsidRDefault="00560289" w:rsidP="00560289">
      <w:pPr>
        <w:pStyle w:val="21"/>
        <w:pBdr>
          <w:bottom w:val="none" w:sz="0" w:space="0" w:color="auto"/>
        </w:pBdr>
        <w:spacing w:line="240" w:lineRule="auto"/>
        <w:jc w:val="left"/>
        <w:rPr>
          <w:szCs w:val="24"/>
        </w:rPr>
      </w:pPr>
    </w:p>
    <w:p w:rsidR="00F315AC" w:rsidRDefault="00F315AC"/>
    <w:sectPr w:rsidR="00F315AC" w:rsidSect="0056028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38D0"/>
    <w:multiLevelType w:val="hybridMultilevel"/>
    <w:tmpl w:val="1120698C"/>
    <w:lvl w:ilvl="0" w:tplc="915283DE">
      <w:start w:val="1"/>
      <w:numFmt w:val="decimal"/>
      <w:lvlText w:val="%1."/>
      <w:lvlJc w:val="left"/>
      <w:pPr>
        <w:ind w:left="39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9"/>
    <w:rsid w:val="0055193C"/>
    <w:rsid w:val="00560289"/>
    <w:rsid w:val="00717B04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417A"/>
  <w15:chartTrackingRefBased/>
  <w15:docId w15:val="{234202B1-924A-4875-9F56-BBDECE7E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6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28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0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60289"/>
    <w:pPr>
      <w:pBdr>
        <w:bottom w:val="double" w:sz="6" w:space="1" w:color="auto"/>
      </w:pBd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Малюгин</dc:creator>
  <cp:keywords/>
  <dc:description/>
  <cp:lastModifiedBy>Малюгин Андрей Викторович</cp:lastModifiedBy>
  <cp:revision>3</cp:revision>
  <dcterms:created xsi:type="dcterms:W3CDTF">2016-04-01T03:56:00Z</dcterms:created>
  <dcterms:modified xsi:type="dcterms:W3CDTF">2017-02-10T05:53:00Z</dcterms:modified>
</cp:coreProperties>
</file>